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91" w:rsidRDefault="00F40413">
      <w:pPr>
        <w:rPr>
          <w:b/>
        </w:rPr>
      </w:pPr>
      <w:bookmarkStart w:id="0" w:name="_GoBack"/>
      <w:bookmarkEnd w:id="0"/>
      <w:r>
        <w:rPr>
          <w:b/>
          <w:sz w:val="36"/>
        </w:rPr>
        <w:t>Checkliste für Führungskräfte/Personalverantwortliche: Bestandsaufnahme des Arbeitsplatzes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Stichworte zum Aufgabenbereich/Tätigkeitsprofil</w:t>
            </w: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F40413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Abteilung:</w:t>
            </w:r>
          </w:p>
          <w:p w:rsidR="00DA0891" w:rsidRDefault="00F40413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Aufgabenbereich:</w:t>
            </w: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Erfordert die Gefährdungsbeurteilung Schutzmaßnahmen für die Schwangere? </w:t>
            </w:r>
          </w:p>
          <w:p w:rsidR="00DA0891" w:rsidRDefault="00F40413">
            <w:pPr>
              <w:pStyle w:val="Listenabsatz"/>
              <w:spacing w:after="160" w:line="259" w:lineRule="auto"/>
              <w:ind w:left="3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Basis ist die vorliegenden Gefährdungsbeurteilung </w:t>
            </w:r>
          </w:p>
        </w:tc>
      </w:tr>
      <w:tr w:rsidR="00DA0891">
        <w:tc>
          <w:tcPr>
            <w:tcW w:w="9062" w:type="dxa"/>
          </w:tcPr>
          <w:p w:rsidR="00DA0891" w:rsidRDefault="00F40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z.B. Umsetzung in einen anderen Bereich bei gefährlichen Stoffen; Arbeitszeiten; Bewegung von schweren Gewichten; sonstige Schutzmaßnahmen?</w:t>
            </w:r>
          </w:p>
          <w:p w:rsidR="00DA0891" w:rsidRDefault="00F40413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□ Nein       </w:t>
            </w:r>
            <w:r>
              <w:rPr>
                <w:rFonts w:ascii="Calibri" w:hAnsi="Calibri" w:cs="Calibri"/>
                <w:color w:val="000000" w:themeColor="text1"/>
              </w:rPr>
              <w:t>□ Wenn ja, welche:</w:t>
            </w:r>
          </w:p>
          <w:p w:rsidR="00DA0891" w:rsidRDefault="00DA0891">
            <w:pPr>
              <w:rPr>
                <w:color w:val="000000" w:themeColor="text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Errechneter Entbindungstermin</w:t>
            </w: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Beginn der Mutterschutzfrist</w:t>
            </w:r>
          </w:p>
          <w:p w:rsidR="00DA0891" w:rsidRDefault="00DA0891">
            <w:pPr>
              <w:rPr>
                <w:b/>
                <w:bCs/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FFFFFF" w:themeColor="background1"/>
              </w:rPr>
            </w:pPr>
          </w:p>
          <w:p w:rsidR="00DA0891" w:rsidRDefault="00DA0891">
            <w:pPr>
              <w:rPr>
                <w:color w:val="FFFFFF" w:themeColor="background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Wie soll mit bestehenden Urlaubsansprüchen bis zum Beginn der Mutterschutzfrist umgegangen werden?</w:t>
            </w:r>
          </w:p>
          <w:p w:rsidR="00DA0891" w:rsidRDefault="00DA0891">
            <w:pPr>
              <w:tabs>
                <w:tab w:val="left" w:pos="1080"/>
              </w:tabs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Wie soll mit ggf. vorhandenen Plusstunden bis zum Eintritt in den Mutterschutz umgegangen werden?</w:t>
            </w: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Letzter planmäßiger Arbeitstag voraussichtlich</w:t>
            </w: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FFFFFF" w:themeColor="background1"/>
              </w:rPr>
            </w:pPr>
          </w:p>
          <w:p w:rsidR="00DA0891" w:rsidRDefault="00F40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Datum: </w:t>
            </w: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Wie ist die Vertretung bei Krankheit oder Urlaub bisher geregelt?</w:t>
            </w:r>
          </w:p>
          <w:p w:rsidR="00DA0891" w:rsidRDefault="00DA0891">
            <w:pPr>
              <w:tabs>
                <w:tab w:val="left" w:pos="1275"/>
              </w:tabs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Möglichkeiten der Verteilung der Aufgaben/Tätigkeitsbereiche auf andere Beschäftigte? </w:t>
            </w:r>
          </w:p>
          <w:p w:rsidR="00DA0891" w:rsidRDefault="00DA0891">
            <w:pPr>
              <w:ind w:left="360"/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F40413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Inhaltliche Teilbarkeit/Verteilung der Tätigkeiten und Stundenkontingente auf andere Beschäftigte.</w:t>
            </w: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F40413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□ Nein       </w:t>
            </w:r>
            <w:r>
              <w:rPr>
                <w:rFonts w:ascii="Calibri" w:hAnsi="Calibri" w:cs="Calibri"/>
                <w:color w:val="000000" w:themeColor="text1"/>
              </w:rPr>
              <w:t>□ Wenn ja, welche:</w:t>
            </w: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Gibt es andere Beschäftigte, die derzeit nicht in Vollzeit tätig sind, die „aufstocken“ möchten und qualifiziert sind, di</w:t>
            </w:r>
            <w:r>
              <w:rPr>
                <w:b/>
                <w:bCs/>
                <w:color w:val="FFFFFF" w:themeColor="background1"/>
              </w:rPr>
              <w:t xml:space="preserve">e konkrete Tätigkeit zu übernehmen? </w:t>
            </w: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rFonts w:cstheme="minorHAnsi"/>
                <w:color w:val="000000" w:themeColor="text1"/>
              </w:rPr>
            </w:pPr>
          </w:p>
          <w:p w:rsidR="00DA0891" w:rsidRDefault="00F40413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□ Nein       </w:t>
            </w:r>
            <w:r>
              <w:rPr>
                <w:rFonts w:ascii="Calibri" w:hAnsi="Calibri" w:cs="Calibri"/>
                <w:color w:val="000000" w:themeColor="text1"/>
              </w:rPr>
              <w:t>□ Wenn ja, welche:</w:t>
            </w: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F40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Achtung: Für eine geplante Aufstockung ist eine Rücksprache mit der Hochschulleitung erforderlich.</w:t>
            </w:r>
          </w:p>
          <w:p w:rsidR="00DA0891" w:rsidRDefault="00DA0891">
            <w:pPr>
              <w:rPr>
                <w:color w:val="000000" w:themeColor="text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Etwaige Anforderungen an Einarbeitung der Vertretung?</w:t>
            </w:r>
          </w:p>
          <w:p w:rsidR="00DA0891" w:rsidRDefault="00DA0891">
            <w:pPr>
              <w:ind w:left="360"/>
              <w:rPr>
                <w:b/>
                <w:bCs/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F40413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z.B. Fortbildung,</w:t>
            </w:r>
            <w:r>
              <w:rPr>
                <w:color w:val="000000" w:themeColor="text1"/>
              </w:rPr>
              <w:t xml:space="preserve"> Einweisung, Übergabe von Informationen an die Mitarbeiterin oder den Mitarbeiter über Angebote zur Vereinbarkeit von Familie und Beruf</w:t>
            </w:r>
          </w:p>
          <w:p w:rsidR="00DA0891" w:rsidRDefault="00F40413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mögliche Arbeitszeitmodelle, Information zur Hochschul-Kita bzw. Tagesmutter auf dem Campus</w:t>
            </w:r>
          </w:p>
          <w:p w:rsidR="00DA0891" w:rsidRDefault="00F40413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Möglichkeiten der Teilzeitar</w:t>
            </w:r>
            <w:r>
              <w:rPr>
                <w:color w:val="000000" w:themeColor="text1"/>
              </w:rPr>
              <w:t>beit/ Homeoffice-Tage</w:t>
            </w:r>
          </w:p>
          <w:p w:rsidR="00DA0891" w:rsidRDefault="00F40413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Hinweise auf weitere familienunterstützende Maßnahmen</w:t>
            </w: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F40413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□ Nein       </w:t>
            </w:r>
            <w:r>
              <w:rPr>
                <w:rFonts w:ascii="Calibri" w:hAnsi="Calibri" w:cs="Calibri"/>
                <w:color w:val="000000" w:themeColor="text1"/>
              </w:rPr>
              <w:t>□ Wenn ja, welche:</w:t>
            </w:r>
          </w:p>
          <w:p w:rsidR="00DA0891" w:rsidRDefault="00DA0891">
            <w:pPr>
              <w:rPr>
                <w:color w:val="FFFFFF" w:themeColor="background1"/>
              </w:rPr>
            </w:pP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Ist schon bekannt, ob und ggf. wie lange eine Elternzeit im Anschluss an die Mutterschutzfrist geplant wird?</w:t>
            </w: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DA0891">
            <w:pPr>
              <w:rPr>
                <w:color w:val="000000" w:themeColor="text1"/>
              </w:rPr>
            </w:pPr>
          </w:p>
          <w:p w:rsidR="00DA0891" w:rsidRDefault="00F40413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□ Nein       </w:t>
            </w:r>
            <w:r>
              <w:rPr>
                <w:rFonts w:ascii="Calibri" w:hAnsi="Calibri" w:cs="Calibri"/>
                <w:color w:val="000000" w:themeColor="text1"/>
              </w:rPr>
              <w:t>□ Wenn ja, wie lange:</w:t>
            </w:r>
          </w:p>
          <w:p w:rsidR="00DA0891" w:rsidRDefault="00DA0891">
            <w:pPr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  <w:shd w:val="clear" w:color="auto" w:fill="4277B9"/>
          </w:tcPr>
          <w:p w:rsidR="00DA0891" w:rsidRDefault="00F40413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Weiteres</w:t>
            </w:r>
          </w:p>
          <w:p w:rsidR="00DA0891" w:rsidRDefault="00DA0891">
            <w:pPr>
              <w:ind w:firstLine="708"/>
              <w:rPr>
                <w:color w:val="FFFFFF" w:themeColor="background1"/>
              </w:rPr>
            </w:pPr>
          </w:p>
        </w:tc>
      </w:tr>
      <w:tr w:rsidR="00DA0891">
        <w:tc>
          <w:tcPr>
            <w:tcW w:w="9062" w:type="dxa"/>
          </w:tcPr>
          <w:p w:rsidR="00DA0891" w:rsidRDefault="00DA0891">
            <w:pPr>
              <w:pStyle w:val="Listenabsatz"/>
              <w:ind w:left="360"/>
              <w:rPr>
                <w:color w:val="000000" w:themeColor="text1"/>
              </w:rPr>
            </w:pPr>
          </w:p>
          <w:p w:rsidR="00DA0891" w:rsidRDefault="00DA0891">
            <w:pPr>
              <w:pStyle w:val="Listenabsatz"/>
              <w:ind w:left="360"/>
              <w:rPr>
                <w:color w:val="000000" w:themeColor="text1"/>
              </w:rPr>
            </w:pPr>
          </w:p>
          <w:p w:rsidR="00DA0891" w:rsidRDefault="00DA0891">
            <w:pPr>
              <w:pStyle w:val="Listenabsatz"/>
              <w:ind w:left="360"/>
              <w:rPr>
                <w:color w:val="000000" w:themeColor="text1"/>
              </w:rPr>
            </w:pPr>
          </w:p>
          <w:p w:rsidR="00DA0891" w:rsidRDefault="00DA0891">
            <w:pPr>
              <w:pStyle w:val="Listenabsatz"/>
              <w:ind w:left="360"/>
              <w:rPr>
                <w:color w:val="000000" w:themeColor="text1"/>
              </w:rPr>
            </w:pPr>
          </w:p>
        </w:tc>
      </w:tr>
    </w:tbl>
    <w:p w:rsidR="00DA0891" w:rsidRDefault="00DA0891"/>
    <w:sectPr w:rsidR="00DA089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13" w:rsidRDefault="00F40413">
      <w:pPr>
        <w:spacing w:after="0" w:line="240" w:lineRule="auto"/>
      </w:pPr>
      <w:r>
        <w:separator/>
      </w:r>
    </w:p>
  </w:endnote>
  <w:endnote w:type="continuationSeparator" w:id="0">
    <w:p w:rsidR="00F40413" w:rsidRDefault="00F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91" w:rsidRDefault="00F40413">
    <w:pPr>
      <w:pStyle w:val="Fuzeile"/>
      <w:jc w:val="right"/>
    </w:pPr>
    <w:r>
      <w:t xml:space="preserve"> © Familienservice TH Wildau, Februar 2023</w:t>
    </w:r>
    <w:r>
      <w:tab/>
    </w:r>
    <w:r>
      <w:tab/>
      <w:t xml:space="preserve">Seite </w:t>
    </w:r>
    <w:sdt>
      <w:sdtPr>
        <w:id w:val="15558811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4CA5">
          <w:rPr>
            <w:noProof/>
          </w:rPr>
          <w:t>2</w:t>
        </w:r>
        <w:r>
          <w:fldChar w:fldCharType="end"/>
        </w:r>
      </w:sdtContent>
    </w:sdt>
  </w:p>
  <w:p w:rsidR="00DA0891" w:rsidRDefault="00DA08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13" w:rsidRDefault="00F40413">
      <w:pPr>
        <w:spacing w:after="0" w:line="240" w:lineRule="auto"/>
      </w:pPr>
      <w:r>
        <w:separator/>
      </w:r>
    </w:p>
  </w:footnote>
  <w:footnote w:type="continuationSeparator" w:id="0">
    <w:p w:rsidR="00F40413" w:rsidRDefault="00F4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91" w:rsidRDefault="00F40413">
    <w:pPr>
      <w:rPr>
        <w:b/>
        <w:sz w:val="36"/>
        <w:szCs w:val="36"/>
      </w:rPr>
    </w:pPr>
    <w:r>
      <w:rPr>
        <w:sz w:val="36"/>
        <w:szCs w:val="36"/>
      </w:rPr>
      <w:t>Organisation planbarer familienbedingter Vertretungen</w:t>
    </w:r>
    <w:r>
      <w:rPr>
        <w:noProof/>
        <w:sz w:val="36"/>
        <w:szCs w:val="36"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4424680</wp:posOffset>
              </wp:positionH>
              <wp:positionV relativeFrom="paragraph">
                <wp:posOffset>17145</wp:posOffset>
              </wp:positionV>
              <wp:extent cx="1327150" cy="523875"/>
              <wp:effectExtent l="0" t="0" r="6350" b="9525"/>
              <wp:wrapTight wrapText="bothSides">
                <wp:wrapPolygon edited="1">
                  <wp:start x="0" y="0"/>
                  <wp:lineTo x="0" y="21207"/>
                  <wp:lineTo x="21393" y="21207"/>
                  <wp:lineTo x="21393" y="0"/>
                  <wp:lineTo x="0" y="0"/>
                </wp:wrapPolygon>
              </wp:wrapTight>
              <wp:docPr id="1" name="Grafik 2" descr="C:\Users\TH-User\Desktop\Logo THW\TH-Wildau-Logo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H-User\Desktop\Logo THW\TH-Wildau-Logo_cmyk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271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60288;o:allowoverlap:true;o:allowincell:true;mso-position-horizontal-relative:text;margin-left:348.4pt;mso-position-horizontal:absolute;mso-position-vertical-relative:text;margin-top:1.3pt;mso-position-vertical:absolute;width:104.5pt;height:41.2pt;mso-wrap-distance-left:9.0pt;mso-wrap-distance-top:0.0pt;mso-wrap-distance-right:9.0pt;mso-wrap-distance-bottom:0.0pt;" wrapcoords="0 0 0 98181 99042 98181 99042 0 0 0" stroked="f">
              <v:path textboxrect="0,0,0,0"/>
              <w10:wrap type="tight"/>
              <v:imagedata r:id="rId2" o:title=""/>
            </v:shape>
          </w:pict>
        </mc:Fallback>
      </mc:AlternateContent>
    </w:r>
  </w:p>
  <w:p w:rsidR="00DA0891" w:rsidRDefault="00DA08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3F5E"/>
    <w:multiLevelType w:val="hybridMultilevel"/>
    <w:tmpl w:val="7564FAF2"/>
    <w:lvl w:ilvl="0" w:tplc="E13C5068">
      <w:start w:val="1"/>
      <w:numFmt w:val="decimal"/>
      <w:lvlText w:val="%1."/>
      <w:lvlJc w:val="left"/>
      <w:pPr>
        <w:ind w:left="360" w:hanging="360"/>
      </w:pPr>
    </w:lvl>
    <w:lvl w:ilvl="1" w:tplc="F51A7CAC">
      <w:start w:val="1"/>
      <w:numFmt w:val="lowerLetter"/>
      <w:lvlText w:val="%2."/>
      <w:lvlJc w:val="left"/>
      <w:pPr>
        <w:ind w:left="1080" w:hanging="360"/>
      </w:pPr>
    </w:lvl>
    <w:lvl w:ilvl="2" w:tplc="50820C0E">
      <w:start w:val="1"/>
      <w:numFmt w:val="lowerRoman"/>
      <w:lvlText w:val="%3."/>
      <w:lvlJc w:val="right"/>
      <w:pPr>
        <w:ind w:left="1800" w:hanging="180"/>
      </w:pPr>
    </w:lvl>
    <w:lvl w:ilvl="3" w:tplc="F1AE238E">
      <w:start w:val="1"/>
      <w:numFmt w:val="decimal"/>
      <w:lvlText w:val="%4."/>
      <w:lvlJc w:val="left"/>
      <w:pPr>
        <w:ind w:left="2520" w:hanging="360"/>
      </w:pPr>
    </w:lvl>
    <w:lvl w:ilvl="4" w:tplc="58B461F2">
      <w:start w:val="1"/>
      <w:numFmt w:val="lowerLetter"/>
      <w:lvlText w:val="%5."/>
      <w:lvlJc w:val="left"/>
      <w:pPr>
        <w:ind w:left="3240" w:hanging="360"/>
      </w:pPr>
    </w:lvl>
    <w:lvl w:ilvl="5" w:tplc="DA42C2D4">
      <w:start w:val="1"/>
      <w:numFmt w:val="lowerRoman"/>
      <w:lvlText w:val="%6."/>
      <w:lvlJc w:val="right"/>
      <w:pPr>
        <w:ind w:left="3960" w:hanging="180"/>
      </w:pPr>
    </w:lvl>
    <w:lvl w:ilvl="6" w:tplc="F990CF9A">
      <w:start w:val="1"/>
      <w:numFmt w:val="decimal"/>
      <w:lvlText w:val="%7."/>
      <w:lvlJc w:val="left"/>
      <w:pPr>
        <w:ind w:left="4680" w:hanging="360"/>
      </w:pPr>
    </w:lvl>
    <w:lvl w:ilvl="7" w:tplc="CF2E947C">
      <w:start w:val="1"/>
      <w:numFmt w:val="lowerLetter"/>
      <w:lvlText w:val="%8."/>
      <w:lvlJc w:val="left"/>
      <w:pPr>
        <w:ind w:left="5400" w:hanging="360"/>
      </w:pPr>
    </w:lvl>
    <w:lvl w:ilvl="8" w:tplc="BFCEB48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129A1"/>
    <w:multiLevelType w:val="hybridMultilevel"/>
    <w:tmpl w:val="646CEE12"/>
    <w:lvl w:ilvl="0" w:tplc="C05A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EB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42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5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6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E7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61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258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44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6944"/>
    <w:multiLevelType w:val="hybridMultilevel"/>
    <w:tmpl w:val="3B4AE63A"/>
    <w:lvl w:ilvl="0" w:tplc="D6EE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88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C9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6E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C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8E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2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E6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8D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1"/>
    <w:rsid w:val="00074CA5"/>
    <w:rsid w:val="00DA0891"/>
    <w:rsid w:val="00F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FK_Personalverantwortliche- Bestandsaufnahme des Arbeitsplatzes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 Wildau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Adnrea Schmid</cp:lastModifiedBy>
  <cp:revision>2</cp:revision>
  <dcterms:created xsi:type="dcterms:W3CDTF">2023-02-08T10:29:00Z</dcterms:created>
  <dcterms:modified xsi:type="dcterms:W3CDTF">2023-02-08T10:29:00Z</dcterms:modified>
</cp:coreProperties>
</file>