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88" w:rsidRDefault="00CA0279">
      <w:pPr>
        <w:pStyle w:val="berschrift1"/>
        <w:jc w:val="center"/>
      </w:pPr>
      <w:bookmarkStart w:id="0" w:name="_GoBack"/>
      <w:bookmarkEnd w:id="0"/>
      <w:r>
        <w:t>Umfrage zu den Prüfungsschemata am FB WIR</w:t>
      </w:r>
    </w:p>
    <w:p w:rsidR="005D1188" w:rsidRDefault="005D1188">
      <w:pPr>
        <w:jc w:val="center"/>
      </w:pPr>
    </w:p>
    <w:p w:rsidR="005D1188" w:rsidRDefault="00CA0279">
      <w:pPr>
        <w:jc w:val="both"/>
        <w:rPr>
          <w:rFonts w:ascii="Arial" w:hAnsi="Arial"/>
          <w:sz w:val="22"/>
          <w:szCs w:val="22"/>
        </w:rPr>
      </w:pPr>
      <w:r>
        <w:rPr>
          <w:rFonts w:ascii="Arial" w:hAnsi="Arial"/>
          <w:sz w:val="22"/>
          <w:szCs w:val="22"/>
        </w:rPr>
        <w:t xml:space="preserve">Seit September 2017 ist die aktuelle </w:t>
      </w:r>
      <w:hyperlink r:id="rId7" w:history="1">
        <w:r>
          <w:rPr>
            <w:rFonts w:ascii="Arial" w:hAnsi="Arial"/>
            <w:b/>
            <w:bCs/>
            <w:sz w:val="22"/>
            <w:szCs w:val="22"/>
          </w:rPr>
          <w:t>Rahmenordnung der TH Wildau</w:t>
        </w:r>
      </w:hyperlink>
      <w:r>
        <w:rPr>
          <w:rFonts w:ascii="Arial" w:hAnsi="Arial"/>
          <w:sz w:val="22"/>
          <w:szCs w:val="22"/>
        </w:rPr>
        <w:t xml:space="preserve"> gültig. Diese regelt die Grundstrukturen der Lehrveranstaltungen an der TH Wildau. Danach ist für jedes Modul ein Prüfungsschema, dies ist eine Kombination aus Prüfungsform und Prüfungsart, festzulegen. Ob ein Prüfungsschema sinnvoll ist, ist von dem Inhalt, den eingesetzten didaktischen Konzepten und den Lehr- und Lernformen des Moduls abhängig. Mit dieser Umfrage sollen im Sinne eines Best Practice Ansatzes gelungene Prüfungsschemata identifiziert werden. Ebenfalls sollen mit dieser Umfrage didaktisch sinnvolle Prüfungskonstellationen identifiziert werden, die mit der Rahmenordnung nicht abzubilden sind. Dies könnte ein Impuls zu einer Überarbeitung der Rahmenordnung sein.</w:t>
      </w:r>
    </w:p>
    <w:p w:rsidR="0018315B" w:rsidRDefault="0018315B">
      <w:pPr>
        <w:jc w:val="both"/>
      </w:pPr>
    </w:p>
    <w:p w:rsidR="005D1188" w:rsidRPr="0018315B" w:rsidRDefault="00C66AE8">
      <w:pPr>
        <w:rPr>
          <w:rFonts w:ascii="Arial" w:hAnsi="Arial"/>
          <w:i/>
          <w:sz w:val="22"/>
          <w:szCs w:val="22"/>
        </w:rPr>
      </w:pPr>
      <w:r w:rsidRPr="0018315B">
        <w:rPr>
          <w:rFonts w:ascii="Arial" w:hAnsi="Arial"/>
          <w:i/>
          <w:sz w:val="22"/>
          <w:szCs w:val="22"/>
        </w:rPr>
        <w:t xml:space="preserve">Bitte füllen Sie den Fragebogen nur für </w:t>
      </w:r>
      <w:r w:rsidR="0018315B" w:rsidRPr="0018315B">
        <w:rPr>
          <w:rFonts w:ascii="Arial" w:hAnsi="Arial"/>
          <w:i/>
          <w:sz w:val="22"/>
          <w:szCs w:val="22"/>
        </w:rPr>
        <w:t>beispielhafte Module der einen oder der anderen Art aus.</w:t>
      </w:r>
    </w:p>
    <w:p w:rsidR="0018315B" w:rsidRDefault="0018315B">
      <w:pPr>
        <w:rPr>
          <w:rFonts w:ascii="Arial" w:hAnsi="Arial"/>
          <w:sz w:val="22"/>
          <w:szCs w:val="22"/>
        </w:rPr>
      </w:pPr>
    </w:p>
    <w:p w:rsidR="005D1188" w:rsidRDefault="00CA0279">
      <w:pPr>
        <w:rPr>
          <w:rFonts w:ascii="Arial" w:hAnsi="Arial"/>
          <w:sz w:val="22"/>
          <w:szCs w:val="22"/>
        </w:rPr>
      </w:pPr>
      <w:r>
        <w:rPr>
          <w:rFonts w:ascii="Arial" w:hAnsi="Arial"/>
          <w:sz w:val="22"/>
          <w:szCs w:val="22"/>
        </w:rPr>
        <w:t>Zunächst jedoch einige Definitionen und Festlegungen der Rahmenordnung:</w:t>
      </w:r>
    </w:p>
    <w:p w:rsidR="005D1188" w:rsidRDefault="005D1188">
      <w:pPr>
        <w:rPr>
          <w:rFonts w:ascii="Arial" w:hAnsi="Arial"/>
          <w:sz w:val="22"/>
          <w:szCs w:val="22"/>
        </w:rPr>
      </w:pPr>
    </w:p>
    <w:p w:rsidR="005D1188" w:rsidRPr="0018315B" w:rsidRDefault="00CA0279">
      <w:pPr>
        <w:rPr>
          <w:rFonts w:ascii="Arial" w:hAnsi="Arial"/>
          <w:sz w:val="20"/>
          <w:szCs w:val="20"/>
        </w:rPr>
      </w:pPr>
      <w:r w:rsidRPr="0018315B">
        <w:rPr>
          <w:rFonts w:ascii="Arial" w:hAnsi="Arial"/>
          <w:sz w:val="20"/>
          <w:szCs w:val="20"/>
        </w:rPr>
        <w:t xml:space="preserve">Die </w:t>
      </w:r>
      <w:r w:rsidRPr="0018315B">
        <w:rPr>
          <w:rFonts w:ascii="Arial" w:hAnsi="Arial"/>
          <w:b/>
          <w:bCs/>
          <w:sz w:val="20"/>
          <w:szCs w:val="20"/>
        </w:rPr>
        <w:t>Lehr- und Lernformen</w:t>
      </w:r>
      <w:r w:rsidRPr="0018315B">
        <w:rPr>
          <w:rFonts w:ascii="Arial" w:hAnsi="Arial"/>
          <w:sz w:val="20"/>
          <w:szCs w:val="20"/>
        </w:rPr>
        <w:t xml:space="preserve"> sind (§7(1)):</w:t>
      </w:r>
    </w:p>
    <w:p w:rsidR="005D1188" w:rsidRPr="0018315B" w:rsidRDefault="00CA0279">
      <w:pPr>
        <w:numPr>
          <w:ilvl w:val="0"/>
          <w:numId w:val="1"/>
        </w:numPr>
        <w:rPr>
          <w:rFonts w:ascii="Arial" w:hAnsi="Arial"/>
          <w:sz w:val="20"/>
          <w:szCs w:val="20"/>
        </w:rPr>
      </w:pPr>
      <w:r w:rsidRPr="0018315B">
        <w:rPr>
          <w:rFonts w:ascii="Arial" w:hAnsi="Arial"/>
          <w:sz w:val="20"/>
          <w:szCs w:val="20"/>
        </w:rPr>
        <w:t>Vorlesungen</w:t>
      </w:r>
    </w:p>
    <w:p w:rsidR="005D1188" w:rsidRPr="0018315B" w:rsidRDefault="00CA0279">
      <w:pPr>
        <w:numPr>
          <w:ilvl w:val="0"/>
          <w:numId w:val="1"/>
        </w:numPr>
        <w:rPr>
          <w:rFonts w:ascii="Arial" w:hAnsi="Arial"/>
          <w:sz w:val="20"/>
          <w:szCs w:val="20"/>
        </w:rPr>
      </w:pPr>
      <w:r w:rsidRPr="0018315B">
        <w:rPr>
          <w:rFonts w:ascii="Arial" w:hAnsi="Arial"/>
          <w:sz w:val="20"/>
          <w:szCs w:val="20"/>
        </w:rPr>
        <w:t>Übungen</w:t>
      </w:r>
    </w:p>
    <w:p w:rsidR="005D1188" w:rsidRPr="0018315B" w:rsidRDefault="00CA0279">
      <w:pPr>
        <w:numPr>
          <w:ilvl w:val="0"/>
          <w:numId w:val="1"/>
        </w:numPr>
        <w:rPr>
          <w:rFonts w:ascii="Arial" w:hAnsi="Arial"/>
          <w:sz w:val="20"/>
          <w:szCs w:val="20"/>
        </w:rPr>
      </w:pPr>
      <w:r w:rsidRPr="0018315B">
        <w:rPr>
          <w:rFonts w:ascii="Arial" w:hAnsi="Arial"/>
          <w:sz w:val="20"/>
          <w:szCs w:val="20"/>
        </w:rPr>
        <w:t>Labore</w:t>
      </w:r>
    </w:p>
    <w:p w:rsidR="005D1188" w:rsidRPr="0018315B" w:rsidRDefault="00CA0279">
      <w:pPr>
        <w:numPr>
          <w:ilvl w:val="0"/>
          <w:numId w:val="1"/>
        </w:numPr>
        <w:rPr>
          <w:rFonts w:ascii="Arial" w:hAnsi="Arial"/>
          <w:sz w:val="20"/>
          <w:szCs w:val="20"/>
        </w:rPr>
      </w:pPr>
      <w:r w:rsidRPr="0018315B">
        <w:rPr>
          <w:rFonts w:ascii="Arial" w:hAnsi="Arial"/>
          <w:sz w:val="20"/>
          <w:szCs w:val="20"/>
        </w:rPr>
        <w:t>Projekte</w:t>
      </w:r>
    </w:p>
    <w:p w:rsidR="005D1188" w:rsidRPr="0018315B" w:rsidRDefault="00CA0279">
      <w:pPr>
        <w:numPr>
          <w:ilvl w:val="0"/>
          <w:numId w:val="1"/>
        </w:numPr>
        <w:rPr>
          <w:rFonts w:ascii="Arial" w:hAnsi="Arial"/>
          <w:sz w:val="20"/>
          <w:szCs w:val="20"/>
        </w:rPr>
      </w:pPr>
      <w:r w:rsidRPr="0018315B">
        <w:rPr>
          <w:rFonts w:ascii="Arial" w:hAnsi="Arial"/>
          <w:sz w:val="20"/>
          <w:szCs w:val="20"/>
        </w:rPr>
        <w:t>Seminare</w:t>
      </w:r>
    </w:p>
    <w:p w:rsidR="005D1188" w:rsidRPr="0018315B" w:rsidRDefault="00CA0279">
      <w:pPr>
        <w:rPr>
          <w:rFonts w:ascii="Arial" w:hAnsi="Arial"/>
          <w:sz w:val="20"/>
          <w:szCs w:val="20"/>
        </w:rPr>
      </w:pPr>
      <w:r w:rsidRPr="0018315B">
        <w:rPr>
          <w:rFonts w:ascii="Arial" w:hAnsi="Arial"/>
          <w:sz w:val="20"/>
          <w:szCs w:val="20"/>
        </w:rPr>
        <w:t>Ein Modul kann sich aus mehreren Lehr- und Lernformen zusammensetzen (z.B. Vorlesung mit Übung)</w:t>
      </w:r>
    </w:p>
    <w:p w:rsidR="005D1188" w:rsidRPr="0018315B" w:rsidRDefault="005D1188">
      <w:pPr>
        <w:rPr>
          <w:rFonts w:ascii="Arial" w:hAnsi="Arial"/>
          <w:sz w:val="20"/>
          <w:szCs w:val="20"/>
        </w:rPr>
      </w:pPr>
    </w:p>
    <w:p w:rsidR="005D1188" w:rsidRPr="0018315B" w:rsidRDefault="00CA0279">
      <w:pPr>
        <w:rPr>
          <w:rFonts w:ascii="Arial" w:hAnsi="Arial"/>
          <w:sz w:val="20"/>
          <w:szCs w:val="20"/>
        </w:rPr>
      </w:pPr>
      <w:r w:rsidRPr="0018315B">
        <w:rPr>
          <w:rFonts w:ascii="Arial" w:hAnsi="Arial"/>
          <w:sz w:val="20"/>
          <w:szCs w:val="20"/>
        </w:rPr>
        <w:t xml:space="preserve">Die </w:t>
      </w:r>
      <w:r w:rsidRPr="0018315B">
        <w:rPr>
          <w:rFonts w:ascii="Arial" w:hAnsi="Arial"/>
          <w:b/>
          <w:bCs/>
          <w:sz w:val="20"/>
          <w:szCs w:val="20"/>
        </w:rPr>
        <w:t>Prüfungsformen</w:t>
      </w:r>
      <w:r w:rsidRPr="0018315B">
        <w:rPr>
          <w:rFonts w:ascii="Arial" w:hAnsi="Arial"/>
          <w:sz w:val="20"/>
          <w:szCs w:val="20"/>
        </w:rPr>
        <w:t xml:space="preserve"> sind (§8(1)):</w:t>
      </w:r>
    </w:p>
    <w:p w:rsidR="005D1188" w:rsidRPr="0018315B" w:rsidRDefault="00CA0279">
      <w:pPr>
        <w:numPr>
          <w:ilvl w:val="0"/>
          <w:numId w:val="2"/>
        </w:numPr>
        <w:rPr>
          <w:rFonts w:ascii="Arial" w:hAnsi="Arial"/>
          <w:sz w:val="20"/>
          <w:szCs w:val="20"/>
        </w:rPr>
      </w:pPr>
      <w:r w:rsidRPr="0018315B">
        <w:rPr>
          <w:rFonts w:ascii="Arial" w:hAnsi="Arial"/>
          <w:sz w:val="20"/>
          <w:szCs w:val="20"/>
        </w:rPr>
        <w:t>mündlich,</w:t>
      </w:r>
    </w:p>
    <w:p w:rsidR="005D1188" w:rsidRPr="0018315B" w:rsidRDefault="00CA0279">
      <w:pPr>
        <w:numPr>
          <w:ilvl w:val="0"/>
          <w:numId w:val="2"/>
        </w:numPr>
        <w:rPr>
          <w:rFonts w:ascii="Arial" w:hAnsi="Arial"/>
          <w:sz w:val="20"/>
          <w:szCs w:val="20"/>
        </w:rPr>
      </w:pPr>
      <w:r w:rsidRPr="0018315B">
        <w:rPr>
          <w:rFonts w:ascii="Arial" w:hAnsi="Arial"/>
          <w:sz w:val="20"/>
          <w:szCs w:val="20"/>
        </w:rPr>
        <w:t>schriftlich durch Klausurarbeiten und sonstige schriftliche Arbeiten,</w:t>
      </w:r>
    </w:p>
    <w:p w:rsidR="005D1188" w:rsidRPr="0018315B" w:rsidRDefault="00CA0279">
      <w:pPr>
        <w:numPr>
          <w:ilvl w:val="0"/>
          <w:numId w:val="2"/>
        </w:numPr>
        <w:rPr>
          <w:rFonts w:ascii="Arial" w:hAnsi="Arial"/>
          <w:sz w:val="20"/>
          <w:szCs w:val="20"/>
        </w:rPr>
      </w:pPr>
      <w:r w:rsidRPr="0018315B">
        <w:rPr>
          <w:rFonts w:ascii="Arial" w:hAnsi="Arial"/>
          <w:sz w:val="20"/>
          <w:szCs w:val="20"/>
        </w:rPr>
        <w:t>als Projektarbeiten,</w:t>
      </w:r>
    </w:p>
    <w:p w:rsidR="005D1188" w:rsidRPr="0018315B" w:rsidRDefault="00CA0279">
      <w:pPr>
        <w:numPr>
          <w:ilvl w:val="0"/>
          <w:numId w:val="2"/>
        </w:numPr>
        <w:rPr>
          <w:rFonts w:ascii="Arial" w:hAnsi="Arial"/>
          <w:sz w:val="20"/>
          <w:szCs w:val="20"/>
        </w:rPr>
      </w:pPr>
      <w:r w:rsidRPr="0018315B">
        <w:rPr>
          <w:rFonts w:ascii="Arial" w:hAnsi="Arial"/>
          <w:sz w:val="20"/>
          <w:szCs w:val="20"/>
        </w:rPr>
        <w:t>als Laborversuche sowie</w:t>
      </w:r>
    </w:p>
    <w:p w:rsidR="005D1188" w:rsidRPr="0018315B" w:rsidRDefault="00CA0279">
      <w:pPr>
        <w:numPr>
          <w:ilvl w:val="0"/>
          <w:numId w:val="2"/>
        </w:numPr>
        <w:rPr>
          <w:rFonts w:ascii="Arial" w:hAnsi="Arial"/>
          <w:sz w:val="20"/>
          <w:szCs w:val="20"/>
        </w:rPr>
      </w:pPr>
      <w:r w:rsidRPr="0018315B">
        <w:rPr>
          <w:rFonts w:ascii="Arial" w:hAnsi="Arial"/>
          <w:sz w:val="20"/>
          <w:szCs w:val="20"/>
        </w:rPr>
        <w:t>durch andere kontrollierte, nach gleichen Maßstäben bewertbare Leistungen. Die Ableistung einer Praxisphase kann auch als Prüfungsleistung vorgesehen werden.</w:t>
      </w:r>
    </w:p>
    <w:p w:rsidR="005D1188" w:rsidRPr="0018315B" w:rsidRDefault="00CA0279">
      <w:pPr>
        <w:rPr>
          <w:rFonts w:ascii="Arial" w:hAnsi="Arial"/>
          <w:sz w:val="20"/>
          <w:szCs w:val="20"/>
        </w:rPr>
      </w:pPr>
      <w:r w:rsidRPr="0018315B">
        <w:rPr>
          <w:rFonts w:ascii="Arial" w:hAnsi="Arial"/>
          <w:sz w:val="20"/>
          <w:szCs w:val="20"/>
        </w:rPr>
        <w:t>Die Prüfungsform eines Moduls ist im Modulhandbuch festgelegt.</w:t>
      </w:r>
    </w:p>
    <w:p w:rsidR="005D1188" w:rsidRPr="0018315B" w:rsidRDefault="005D1188">
      <w:pPr>
        <w:rPr>
          <w:rFonts w:ascii="Arial" w:hAnsi="Arial"/>
          <w:sz w:val="20"/>
          <w:szCs w:val="20"/>
        </w:rPr>
      </w:pPr>
    </w:p>
    <w:p w:rsidR="005D1188" w:rsidRPr="0018315B" w:rsidRDefault="00CA0279">
      <w:pPr>
        <w:rPr>
          <w:rFonts w:ascii="Arial" w:hAnsi="Arial"/>
          <w:sz w:val="20"/>
          <w:szCs w:val="20"/>
        </w:rPr>
      </w:pPr>
      <w:r w:rsidRPr="0018315B">
        <w:rPr>
          <w:rFonts w:ascii="Arial" w:hAnsi="Arial"/>
          <w:sz w:val="20"/>
          <w:szCs w:val="20"/>
        </w:rPr>
        <w:t xml:space="preserve">Die </w:t>
      </w:r>
      <w:r w:rsidRPr="0018315B">
        <w:rPr>
          <w:rFonts w:ascii="Arial" w:hAnsi="Arial"/>
          <w:b/>
          <w:bCs/>
          <w:sz w:val="20"/>
          <w:szCs w:val="20"/>
        </w:rPr>
        <w:t>Prüfungsarten</w:t>
      </w:r>
      <w:r w:rsidRPr="0018315B">
        <w:rPr>
          <w:rFonts w:ascii="Arial" w:hAnsi="Arial"/>
          <w:sz w:val="20"/>
          <w:szCs w:val="20"/>
        </w:rPr>
        <w:t xml:space="preserve"> sind (§8(3)):</w:t>
      </w:r>
    </w:p>
    <w:p w:rsidR="005D1188" w:rsidRPr="0018315B" w:rsidRDefault="00CA0279">
      <w:pPr>
        <w:numPr>
          <w:ilvl w:val="0"/>
          <w:numId w:val="3"/>
        </w:numPr>
        <w:rPr>
          <w:rFonts w:ascii="Arial" w:hAnsi="Arial"/>
          <w:sz w:val="20"/>
          <w:szCs w:val="20"/>
        </w:rPr>
      </w:pPr>
      <w:r w:rsidRPr="0018315B">
        <w:rPr>
          <w:rFonts w:ascii="Arial" w:hAnsi="Arial"/>
          <w:i/>
          <w:iCs/>
          <w:sz w:val="20"/>
          <w:szCs w:val="20"/>
        </w:rPr>
        <w:t>Feste Modulprüfung (FMP)</w:t>
      </w:r>
      <w:r w:rsidRPr="0018315B">
        <w:rPr>
          <w:rFonts w:ascii="Arial" w:hAnsi="Arial"/>
          <w:sz w:val="20"/>
          <w:szCs w:val="20"/>
        </w:rPr>
        <w:t>: Prüfung zu einem festgelegten Termin innerhalb der Prüfungszeit (Zeitraum zwei Wochen nach der Lehrveranstaltungszeit des entsprechenden Semesters und Zeitraum zwei Wochen vor Lehrveranstaltungsbeginn des Folgesemesters),</w:t>
      </w:r>
    </w:p>
    <w:p w:rsidR="005D1188" w:rsidRPr="0018315B" w:rsidRDefault="00CA0279">
      <w:pPr>
        <w:numPr>
          <w:ilvl w:val="0"/>
          <w:numId w:val="3"/>
        </w:numPr>
        <w:rPr>
          <w:rFonts w:ascii="Arial" w:hAnsi="Arial"/>
          <w:sz w:val="20"/>
          <w:szCs w:val="20"/>
        </w:rPr>
      </w:pPr>
      <w:r w:rsidRPr="0018315B">
        <w:rPr>
          <w:rFonts w:ascii="Arial" w:hAnsi="Arial"/>
          <w:i/>
          <w:iCs/>
          <w:sz w:val="20"/>
          <w:szCs w:val="20"/>
        </w:rPr>
        <w:t>Studienbegleitende Prüfung im Verlaufe des Semesters (SMP)</w:t>
      </w:r>
      <w:r w:rsidRPr="0018315B">
        <w:rPr>
          <w:rFonts w:ascii="Arial" w:hAnsi="Arial"/>
          <w:sz w:val="20"/>
          <w:szCs w:val="20"/>
        </w:rPr>
        <w:t>: Prüfung außerhalb der Prüfungszeit (diese Prüfung kann aus mehreren Teilprüfungen bestehen),</w:t>
      </w:r>
    </w:p>
    <w:p w:rsidR="005D1188" w:rsidRPr="0018315B" w:rsidRDefault="00CA0279">
      <w:pPr>
        <w:numPr>
          <w:ilvl w:val="0"/>
          <w:numId w:val="3"/>
        </w:numPr>
        <w:rPr>
          <w:rFonts w:ascii="Arial" w:hAnsi="Arial"/>
          <w:sz w:val="20"/>
          <w:szCs w:val="20"/>
        </w:rPr>
      </w:pPr>
      <w:r w:rsidRPr="0018315B">
        <w:rPr>
          <w:rFonts w:ascii="Arial" w:hAnsi="Arial"/>
          <w:i/>
          <w:iCs/>
          <w:sz w:val="20"/>
          <w:szCs w:val="20"/>
        </w:rPr>
        <w:t>Kombinierte Modulprüfung (KMP)</w:t>
      </w:r>
      <w:r w:rsidRPr="0018315B">
        <w:rPr>
          <w:rFonts w:ascii="Arial" w:hAnsi="Arial"/>
          <w:sz w:val="20"/>
          <w:szCs w:val="20"/>
        </w:rPr>
        <w:t>: Kombination der unter 1. Und 2. Genannten Prüfungsarten.</w:t>
      </w:r>
    </w:p>
    <w:p w:rsidR="005D1188" w:rsidRPr="0018315B" w:rsidRDefault="00CA0279">
      <w:pPr>
        <w:rPr>
          <w:rFonts w:ascii="Arial" w:hAnsi="Arial"/>
          <w:sz w:val="20"/>
          <w:szCs w:val="20"/>
        </w:rPr>
      </w:pPr>
      <w:r w:rsidRPr="0018315B">
        <w:rPr>
          <w:rFonts w:ascii="Arial" w:hAnsi="Arial"/>
          <w:sz w:val="20"/>
          <w:szCs w:val="20"/>
        </w:rPr>
        <w:t>Die Prüfungsart eines Moduls ist in der SPO festgelegt.</w:t>
      </w:r>
    </w:p>
    <w:p w:rsidR="004C41F8" w:rsidRPr="0018315B" w:rsidRDefault="004C41F8">
      <w:pPr>
        <w:rPr>
          <w:rFonts w:ascii="Arial" w:hAnsi="Arial"/>
          <w:sz w:val="20"/>
          <w:szCs w:val="20"/>
        </w:rPr>
      </w:pPr>
      <w:r w:rsidRPr="0018315B">
        <w:rPr>
          <w:rFonts w:ascii="Arial" w:hAnsi="Arial"/>
          <w:sz w:val="20"/>
          <w:szCs w:val="20"/>
        </w:rPr>
        <w:t>Besteht eine Modulprüfung aus mehreren Prüfungsleistungen sind diese zu einer Modulnote zusammenzufassen. Die Modulbeschreibung kann das Bestehen sämtlicher oder einer Mindestzahl von Prüfungsleistungen vorsehen (§9(2)).</w:t>
      </w:r>
    </w:p>
    <w:p w:rsidR="00F414A6" w:rsidRPr="0018315B" w:rsidRDefault="00F414A6">
      <w:pPr>
        <w:rPr>
          <w:rFonts w:ascii="Arial" w:hAnsi="Arial"/>
          <w:sz w:val="20"/>
          <w:szCs w:val="20"/>
        </w:rPr>
      </w:pPr>
      <w:r w:rsidRPr="0018315B">
        <w:rPr>
          <w:rFonts w:ascii="Arial" w:hAnsi="Arial"/>
          <w:sz w:val="20"/>
          <w:szCs w:val="20"/>
        </w:rPr>
        <w:t>Eine Abmeldung von einer FMP Prüfung ist bis zu 3 Tage vor der Prüfung möglich (§20(7)). Eine Abmeldung von einer SMP Prüfung ist nur in den ersten 3 Veranstaltungswochen möglich (§20(9)).</w:t>
      </w:r>
    </w:p>
    <w:p w:rsidR="005D1188" w:rsidRPr="0018315B" w:rsidRDefault="00CA0279">
      <w:pPr>
        <w:rPr>
          <w:rFonts w:ascii="Arial" w:hAnsi="Arial"/>
          <w:sz w:val="20"/>
          <w:szCs w:val="20"/>
        </w:rPr>
      </w:pPr>
      <w:r w:rsidRPr="0018315B">
        <w:rPr>
          <w:rFonts w:ascii="Arial" w:hAnsi="Arial"/>
          <w:sz w:val="20"/>
          <w:szCs w:val="20"/>
        </w:rPr>
        <w:t>Die Prüfungszeiträume sind für FMP Prüfungen reserviert. SMP Prüfungen dürfen während dieser Zeit nicht stattfinden (§8(3)).</w:t>
      </w:r>
    </w:p>
    <w:p w:rsidR="005D1188" w:rsidRPr="0018315B" w:rsidRDefault="00CA0279">
      <w:pPr>
        <w:rPr>
          <w:rFonts w:ascii="Arial" w:hAnsi="Arial"/>
          <w:sz w:val="20"/>
          <w:szCs w:val="20"/>
        </w:rPr>
      </w:pPr>
      <w:r w:rsidRPr="0018315B">
        <w:rPr>
          <w:rFonts w:ascii="Arial" w:hAnsi="Arial"/>
          <w:sz w:val="20"/>
          <w:szCs w:val="20"/>
        </w:rPr>
        <w:t>Die erste Nachprüfungsmögl</w:t>
      </w:r>
      <w:r w:rsidR="009D0FB8">
        <w:rPr>
          <w:rFonts w:ascii="Arial" w:hAnsi="Arial"/>
          <w:sz w:val="20"/>
          <w:szCs w:val="20"/>
        </w:rPr>
        <w:t>ichkeit einer SMP Prüfung bzw. e</w:t>
      </w:r>
      <w:r w:rsidRPr="0018315B">
        <w:rPr>
          <w:rFonts w:ascii="Arial" w:hAnsi="Arial"/>
          <w:sz w:val="20"/>
          <w:szCs w:val="20"/>
        </w:rPr>
        <w:t xml:space="preserve">ines SMP Teils einer KMP Prüfung ist </w:t>
      </w:r>
      <w:r w:rsidR="00F414A6" w:rsidRPr="0018315B">
        <w:rPr>
          <w:rFonts w:ascii="Arial" w:hAnsi="Arial"/>
          <w:sz w:val="20"/>
          <w:szCs w:val="20"/>
        </w:rPr>
        <w:t xml:space="preserve">erst </w:t>
      </w:r>
      <w:r w:rsidRPr="0018315B">
        <w:rPr>
          <w:rFonts w:ascii="Arial" w:hAnsi="Arial"/>
          <w:sz w:val="20"/>
          <w:szCs w:val="20"/>
        </w:rPr>
        <w:t>im Folgejahr (§20(10)(12)).</w:t>
      </w:r>
    </w:p>
    <w:p w:rsidR="005D1188" w:rsidRPr="0018315B" w:rsidRDefault="005D1188">
      <w:pPr>
        <w:rPr>
          <w:rFonts w:ascii="Arial" w:hAnsi="Arial"/>
          <w:sz w:val="20"/>
          <w:szCs w:val="20"/>
        </w:rPr>
      </w:pPr>
    </w:p>
    <w:p w:rsidR="005D1188" w:rsidRPr="0018315B" w:rsidRDefault="00CA0279">
      <w:pPr>
        <w:rPr>
          <w:rFonts w:ascii="Arial" w:hAnsi="Arial"/>
          <w:sz w:val="20"/>
          <w:szCs w:val="20"/>
        </w:rPr>
      </w:pPr>
      <w:r w:rsidRPr="0018315B">
        <w:rPr>
          <w:rFonts w:ascii="Arial" w:hAnsi="Arial"/>
          <w:sz w:val="20"/>
          <w:szCs w:val="20"/>
        </w:rPr>
        <w:t xml:space="preserve">Ein </w:t>
      </w:r>
      <w:r w:rsidRPr="0018315B">
        <w:rPr>
          <w:rFonts w:ascii="Arial" w:hAnsi="Arial"/>
          <w:b/>
          <w:bCs/>
          <w:sz w:val="20"/>
          <w:szCs w:val="20"/>
        </w:rPr>
        <w:t>Prüfungsschema</w:t>
      </w:r>
      <w:r w:rsidRPr="0018315B">
        <w:rPr>
          <w:rFonts w:ascii="Arial" w:hAnsi="Arial"/>
          <w:sz w:val="20"/>
          <w:szCs w:val="20"/>
        </w:rPr>
        <w:t xml:space="preserve"> ist die Kombination aus Prüfungsform und Prüfungsart (§20(6)). Dieses </w:t>
      </w:r>
      <w:r w:rsidR="00EB6EC2" w:rsidRPr="0018315B">
        <w:rPr>
          <w:rFonts w:ascii="Arial" w:hAnsi="Arial"/>
          <w:sz w:val="20"/>
          <w:szCs w:val="20"/>
        </w:rPr>
        <w:t xml:space="preserve">sowie der Termin </w:t>
      </w:r>
      <w:r w:rsidRPr="0018315B">
        <w:rPr>
          <w:rFonts w:ascii="Arial" w:hAnsi="Arial"/>
          <w:sz w:val="20"/>
          <w:szCs w:val="20"/>
        </w:rPr>
        <w:t>muss am Anfang einer Veranstaltung den Studierenden mitgeteilt werden.</w:t>
      </w:r>
      <w:r w:rsidR="00EB6EC2" w:rsidRPr="0018315B">
        <w:rPr>
          <w:rFonts w:ascii="Arial" w:hAnsi="Arial"/>
          <w:sz w:val="20"/>
          <w:szCs w:val="20"/>
        </w:rPr>
        <w:t xml:space="preserve"> Beinhaltet das Prüfungsschema mehrere Teilprüfungen so sind diese mit Zeitpunkt und Gewichtung in der Gesamtnote bekanntzugeben.</w:t>
      </w:r>
    </w:p>
    <w:p w:rsidR="005D1188" w:rsidRDefault="00CA0279">
      <w:pPr>
        <w:pageBreakBefore/>
        <w:jc w:val="center"/>
        <w:rPr>
          <w:rFonts w:ascii="Arial" w:hAnsi="Arial"/>
          <w:b/>
          <w:bCs/>
        </w:rPr>
      </w:pPr>
      <w:r>
        <w:rPr>
          <w:rFonts w:ascii="Arial" w:hAnsi="Arial"/>
          <w:b/>
          <w:bCs/>
        </w:rPr>
        <w:lastRenderedPageBreak/>
        <w:t>Best Practice Umfrage zu Prüfungsschemata</w:t>
      </w:r>
    </w:p>
    <w:p w:rsidR="005D1188" w:rsidRDefault="005D1188">
      <w:pPr>
        <w:jc w:val="center"/>
        <w:rPr>
          <w:rFonts w:ascii="Arial" w:hAnsi="Arial"/>
          <w:b/>
          <w:bCs/>
        </w:rPr>
      </w:pPr>
    </w:p>
    <w:tbl>
      <w:tblPr>
        <w:tblW w:w="9637" w:type="dxa"/>
        <w:tblLayout w:type="fixed"/>
        <w:tblCellMar>
          <w:left w:w="10" w:type="dxa"/>
          <w:right w:w="10" w:type="dxa"/>
        </w:tblCellMar>
        <w:tblLook w:val="0000" w:firstRow="0" w:lastRow="0" w:firstColumn="0" w:lastColumn="0" w:noHBand="0" w:noVBand="0"/>
      </w:tblPr>
      <w:tblGrid>
        <w:gridCol w:w="4818"/>
        <w:gridCol w:w="4819"/>
      </w:tblGrid>
      <w:tr w:rsidR="005D1188">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rsidR="005D1188" w:rsidRPr="00C66AE8" w:rsidRDefault="00CA0279">
            <w:pPr>
              <w:rPr>
                <w:rFonts w:ascii="Arial" w:hAnsi="Arial"/>
                <w:sz w:val="20"/>
                <w:szCs w:val="20"/>
              </w:rPr>
            </w:pPr>
            <w:r w:rsidRPr="00C66AE8">
              <w:rPr>
                <w:rFonts w:ascii="Arial" w:hAnsi="Arial"/>
                <w:sz w:val="20"/>
                <w:szCs w:val="20"/>
              </w:rPr>
              <w:t>Name des Moduls:</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D1188" w:rsidRDefault="005D1188">
            <w:pPr>
              <w:pStyle w:val="TableContents"/>
              <w:rPr>
                <w:rFonts w:ascii="Arial" w:hAnsi="Arial"/>
                <w:sz w:val="20"/>
                <w:szCs w:val="20"/>
              </w:rPr>
            </w:pP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CA0279">
            <w:pPr>
              <w:rPr>
                <w:rFonts w:ascii="Arial" w:hAnsi="Arial"/>
                <w:sz w:val="20"/>
                <w:szCs w:val="20"/>
              </w:rPr>
            </w:pPr>
            <w:r w:rsidRPr="00C66AE8">
              <w:rPr>
                <w:rFonts w:ascii="Arial" w:hAnsi="Arial"/>
                <w:sz w:val="20"/>
                <w:szCs w:val="20"/>
              </w:rPr>
              <w:t>Studiengang:</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5D1188">
            <w:pPr>
              <w:pStyle w:val="TableContents"/>
              <w:rPr>
                <w:rFonts w:ascii="Arial" w:hAnsi="Arial"/>
                <w:sz w:val="20"/>
                <w:szCs w:val="20"/>
              </w:rPr>
            </w:pP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CA0279">
            <w:pPr>
              <w:rPr>
                <w:rFonts w:ascii="Arial" w:hAnsi="Arial"/>
                <w:sz w:val="20"/>
                <w:szCs w:val="20"/>
              </w:rPr>
            </w:pPr>
            <w:r w:rsidRPr="00C66AE8">
              <w:rPr>
                <w:rFonts w:ascii="Arial" w:hAnsi="Arial"/>
                <w:sz w:val="20"/>
                <w:szCs w:val="20"/>
              </w:rPr>
              <w:t>Semester:</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5D1188">
            <w:pPr>
              <w:pStyle w:val="TableContents"/>
              <w:rPr>
                <w:rFonts w:ascii="Arial" w:hAnsi="Arial"/>
                <w:sz w:val="20"/>
                <w:szCs w:val="20"/>
              </w:rPr>
            </w:pP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B97D17">
            <w:pPr>
              <w:rPr>
                <w:rFonts w:ascii="Arial" w:hAnsi="Arial"/>
                <w:sz w:val="20"/>
                <w:szCs w:val="20"/>
              </w:rPr>
            </w:pPr>
            <w:r w:rsidRPr="00C66AE8">
              <w:rPr>
                <w:rFonts w:ascii="Arial" w:hAnsi="Arial"/>
                <w:sz w:val="20"/>
                <w:szCs w:val="20"/>
              </w:rPr>
              <w:t>Modulverantwortliche(r)</w:t>
            </w:r>
            <w:r w:rsidR="00CA0279" w:rsidRPr="00C66AE8">
              <w:rPr>
                <w:rFonts w:ascii="Arial" w:hAnsi="Arial"/>
                <w:sz w:val="20"/>
                <w:szCs w:val="20"/>
              </w:rPr>
              <w:t>:</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5D1188">
            <w:pPr>
              <w:pStyle w:val="TableContents"/>
              <w:rPr>
                <w:rFonts w:ascii="Arial" w:hAnsi="Arial"/>
                <w:sz w:val="20"/>
                <w:szCs w:val="20"/>
              </w:rPr>
            </w:pP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CA0279">
            <w:pPr>
              <w:rPr>
                <w:rFonts w:ascii="Arial" w:hAnsi="Arial"/>
                <w:sz w:val="20"/>
                <w:szCs w:val="20"/>
              </w:rPr>
            </w:pPr>
            <w:r w:rsidRPr="00C66AE8">
              <w:rPr>
                <w:rFonts w:ascii="Arial" w:hAnsi="Arial"/>
                <w:sz w:val="20"/>
                <w:szCs w:val="20"/>
              </w:rPr>
              <w:t>Im Modul eingesetzte Lehr- und Lernformen (bitte markieren):</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CA0279">
            <w:pPr>
              <w:numPr>
                <w:ilvl w:val="0"/>
                <w:numId w:val="1"/>
              </w:numPr>
              <w:rPr>
                <w:rFonts w:ascii="Arial" w:hAnsi="Arial"/>
                <w:sz w:val="20"/>
                <w:szCs w:val="20"/>
              </w:rPr>
            </w:pPr>
            <w:r>
              <w:rPr>
                <w:rFonts w:ascii="Arial" w:hAnsi="Arial"/>
                <w:sz w:val="20"/>
                <w:szCs w:val="20"/>
              </w:rPr>
              <w:t>Vorlesungen</w:t>
            </w:r>
          </w:p>
          <w:p w:rsidR="005D1188" w:rsidRDefault="00CA0279">
            <w:pPr>
              <w:numPr>
                <w:ilvl w:val="0"/>
                <w:numId w:val="1"/>
              </w:numPr>
              <w:rPr>
                <w:rFonts w:ascii="Arial" w:hAnsi="Arial"/>
                <w:sz w:val="20"/>
                <w:szCs w:val="20"/>
              </w:rPr>
            </w:pPr>
            <w:r>
              <w:rPr>
                <w:rFonts w:ascii="Arial" w:hAnsi="Arial"/>
                <w:sz w:val="20"/>
                <w:szCs w:val="20"/>
              </w:rPr>
              <w:t>Übungen</w:t>
            </w:r>
          </w:p>
          <w:p w:rsidR="005D1188" w:rsidRDefault="00CA0279">
            <w:pPr>
              <w:numPr>
                <w:ilvl w:val="0"/>
                <w:numId w:val="1"/>
              </w:numPr>
              <w:rPr>
                <w:rFonts w:ascii="Arial" w:hAnsi="Arial"/>
                <w:sz w:val="20"/>
                <w:szCs w:val="20"/>
              </w:rPr>
            </w:pPr>
            <w:r>
              <w:rPr>
                <w:rFonts w:ascii="Arial" w:hAnsi="Arial"/>
                <w:sz w:val="20"/>
                <w:szCs w:val="20"/>
              </w:rPr>
              <w:t>Labore</w:t>
            </w:r>
          </w:p>
          <w:p w:rsidR="005D1188" w:rsidRDefault="00CA0279">
            <w:pPr>
              <w:numPr>
                <w:ilvl w:val="0"/>
                <w:numId w:val="1"/>
              </w:numPr>
              <w:rPr>
                <w:rFonts w:ascii="Arial" w:hAnsi="Arial"/>
                <w:sz w:val="20"/>
                <w:szCs w:val="20"/>
              </w:rPr>
            </w:pPr>
            <w:r>
              <w:rPr>
                <w:rFonts w:ascii="Arial" w:hAnsi="Arial"/>
                <w:sz w:val="20"/>
                <w:szCs w:val="20"/>
              </w:rPr>
              <w:t>Projekte</w:t>
            </w:r>
          </w:p>
          <w:p w:rsidR="005D1188" w:rsidRDefault="00CA0279">
            <w:pPr>
              <w:numPr>
                <w:ilvl w:val="0"/>
                <w:numId w:val="1"/>
              </w:numPr>
              <w:rPr>
                <w:rFonts w:ascii="Arial" w:hAnsi="Arial"/>
                <w:sz w:val="20"/>
                <w:szCs w:val="20"/>
              </w:rPr>
            </w:pPr>
            <w:r>
              <w:rPr>
                <w:rFonts w:ascii="Arial" w:hAnsi="Arial"/>
                <w:sz w:val="20"/>
                <w:szCs w:val="20"/>
              </w:rPr>
              <w:t>Seminare</w:t>
            </w: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CA0279">
            <w:pPr>
              <w:rPr>
                <w:rFonts w:ascii="Arial" w:hAnsi="Arial"/>
                <w:sz w:val="20"/>
                <w:szCs w:val="20"/>
              </w:rPr>
            </w:pPr>
            <w:r w:rsidRPr="00C66AE8">
              <w:rPr>
                <w:rFonts w:ascii="Arial" w:hAnsi="Arial"/>
                <w:sz w:val="20"/>
                <w:szCs w:val="20"/>
              </w:rPr>
              <w:t>Welche Kompetenzen sollen in dem Modul vermittelt werden? (Kurzangabe)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5D1188">
            <w:pPr>
              <w:pStyle w:val="TableContents"/>
              <w:rPr>
                <w:rFonts w:ascii="Arial" w:hAnsi="Arial"/>
                <w:sz w:val="20"/>
                <w:szCs w:val="20"/>
              </w:rPr>
            </w:pP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CA0279" w:rsidP="00C66AE8">
            <w:pPr>
              <w:rPr>
                <w:rFonts w:ascii="Arial" w:hAnsi="Arial"/>
                <w:sz w:val="20"/>
                <w:szCs w:val="20"/>
              </w:rPr>
            </w:pPr>
            <w:r w:rsidRPr="00C66AE8">
              <w:rPr>
                <w:rFonts w:ascii="Arial" w:hAnsi="Arial"/>
                <w:sz w:val="20"/>
                <w:szCs w:val="20"/>
              </w:rPr>
              <w:t>Bitte beschreiben Sie kurz das didaktische Konzept des Prüfungsschemas</w:t>
            </w:r>
            <w:r w:rsidR="00C66AE8" w:rsidRPr="00C66AE8">
              <w:rPr>
                <w:rFonts w:ascii="Arial" w:hAnsi="Arial"/>
                <w:sz w:val="20"/>
                <w:szCs w:val="20"/>
              </w:rPr>
              <w:t xml:space="preserve"> (d.h. der Kombination von Prüfungsart und –form)</w:t>
            </w:r>
            <w:r w:rsidRPr="00C66AE8">
              <w:rPr>
                <w:rFonts w:ascii="Arial" w:hAnsi="Arial"/>
                <w:sz w:val="20"/>
                <w:szCs w:val="20"/>
              </w:rPr>
              <w:t>:</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5D1188">
            <w:pPr>
              <w:pStyle w:val="TableContents"/>
              <w:rPr>
                <w:rFonts w:ascii="Arial" w:hAnsi="Arial"/>
                <w:sz w:val="20"/>
                <w:szCs w:val="20"/>
              </w:rPr>
            </w:pP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CA0279">
            <w:pPr>
              <w:rPr>
                <w:rFonts w:ascii="Arial" w:hAnsi="Arial"/>
                <w:sz w:val="20"/>
                <w:szCs w:val="20"/>
              </w:rPr>
            </w:pPr>
            <w:r w:rsidRPr="00C66AE8">
              <w:rPr>
                <w:rFonts w:ascii="Arial" w:hAnsi="Arial"/>
                <w:sz w:val="20"/>
                <w:szCs w:val="20"/>
              </w:rPr>
              <w:t>Prüfungsart laut Stundentafel (bitte markieren):</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CA0279">
            <w:pPr>
              <w:pStyle w:val="TableContents"/>
              <w:numPr>
                <w:ilvl w:val="0"/>
                <w:numId w:val="4"/>
              </w:numPr>
              <w:rPr>
                <w:rFonts w:ascii="Arial" w:hAnsi="Arial"/>
                <w:sz w:val="20"/>
                <w:szCs w:val="20"/>
              </w:rPr>
            </w:pPr>
            <w:r>
              <w:rPr>
                <w:rFonts w:ascii="Arial" w:hAnsi="Arial"/>
                <w:sz w:val="20"/>
                <w:szCs w:val="20"/>
              </w:rPr>
              <w:t>FMP</w:t>
            </w:r>
          </w:p>
          <w:p w:rsidR="005D1188" w:rsidRDefault="00CA0279">
            <w:pPr>
              <w:pStyle w:val="TableContents"/>
              <w:numPr>
                <w:ilvl w:val="0"/>
                <w:numId w:val="4"/>
              </w:numPr>
              <w:rPr>
                <w:rFonts w:ascii="Arial" w:hAnsi="Arial"/>
                <w:sz w:val="20"/>
                <w:szCs w:val="20"/>
              </w:rPr>
            </w:pPr>
            <w:r>
              <w:rPr>
                <w:rFonts w:ascii="Arial" w:hAnsi="Arial"/>
                <w:sz w:val="20"/>
                <w:szCs w:val="20"/>
              </w:rPr>
              <w:t>SMP</w:t>
            </w:r>
          </w:p>
          <w:p w:rsidR="005D1188" w:rsidRDefault="00CA0279">
            <w:pPr>
              <w:pStyle w:val="TableContents"/>
              <w:numPr>
                <w:ilvl w:val="0"/>
                <w:numId w:val="4"/>
              </w:numPr>
              <w:rPr>
                <w:rFonts w:ascii="Arial" w:hAnsi="Arial"/>
                <w:sz w:val="20"/>
                <w:szCs w:val="20"/>
              </w:rPr>
            </w:pPr>
            <w:r>
              <w:rPr>
                <w:rFonts w:ascii="Arial" w:hAnsi="Arial"/>
                <w:sz w:val="20"/>
                <w:szCs w:val="20"/>
              </w:rPr>
              <w:t>KMP</w:t>
            </w: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CA0279">
            <w:pPr>
              <w:rPr>
                <w:rFonts w:ascii="Arial" w:hAnsi="Arial"/>
                <w:sz w:val="20"/>
                <w:szCs w:val="20"/>
              </w:rPr>
            </w:pPr>
            <w:r w:rsidRPr="00C66AE8">
              <w:rPr>
                <w:rFonts w:ascii="Arial" w:hAnsi="Arial"/>
                <w:sz w:val="20"/>
                <w:szCs w:val="20"/>
              </w:rPr>
              <w:t>Eingesetzte Prüfungsformen im FMP Teil der Prüfung (sofern vorhanden, bitte markieren):</w:t>
            </w:r>
          </w:p>
          <w:p w:rsidR="005D1188" w:rsidRPr="00C66AE8" w:rsidRDefault="005D1188">
            <w:pPr>
              <w:rPr>
                <w:rFonts w:ascii="Arial" w:hAnsi="Arial"/>
                <w:sz w:val="20"/>
                <w:szCs w:val="20"/>
              </w:rPr>
            </w:pPr>
          </w:p>
          <w:p w:rsidR="005D1188" w:rsidRPr="00C66AE8" w:rsidRDefault="005D1188">
            <w:pPr>
              <w:rPr>
                <w:rFonts w:ascii="Arial" w:hAnsi="Arial"/>
                <w:sz w:val="20"/>
                <w:szCs w:val="20"/>
              </w:rPr>
            </w:pPr>
          </w:p>
          <w:p w:rsidR="005D1188" w:rsidRPr="00C66AE8" w:rsidRDefault="005D1188">
            <w:pPr>
              <w:rPr>
                <w:rFonts w:ascii="Arial" w:hAnsi="Arial"/>
                <w:sz w:val="20"/>
                <w:szCs w:val="20"/>
              </w:rPr>
            </w:pPr>
          </w:p>
          <w:p w:rsidR="005D1188" w:rsidRPr="00C66AE8" w:rsidRDefault="005D1188">
            <w:pPr>
              <w:rPr>
                <w:rFonts w:ascii="Arial" w:hAnsi="Arial"/>
                <w:sz w:val="20"/>
                <w:szCs w:val="20"/>
              </w:rPr>
            </w:pPr>
          </w:p>
          <w:p w:rsidR="005D1188" w:rsidRPr="00C66AE8" w:rsidRDefault="00CA0279">
            <w:pPr>
              <w:rPr>
                <w:rFonts w:ascii="Arial" w:hAnsi="Arial"/>
                <w:sz w:val="20"/>
                <w:szCs w:val="20"/>
              </w:rPr>
            </w:pPr>
            <w:r w:rsidRPr="00C66AE8">
              <w:rPr>
                <w:rFonts w:ascii="Arial" w:hAnsi="Arial"/>
                <w:sz w:val="20"/>
                <w:szCs w:val="20"/>
              </w:rPr>
              <w:t>Bitte beschreiben Sie den FMP Teil der Prüfung genauer (sofern vorhanden):</w:t>
            </w:r>
          </w:p>
          <w:p w:rsidR="00EB6EC2" w:rsidRPr="00C66AE8" w:rsidRDefault="00EB6EC2">
            <w:pPr>
              <w:rPr>
                <w:rFonts w:ascii="Arial" w:hAnsi="Arial"/>
                <w:sz w:val="20"/>
                <w:szCs w:val="20"/>
              </w:rPr>
            </w:pPr>
            <w:r w:rsidRPr="00C66AE8">
              <w:rPr>
                <w:rFonts w:ascii="Arial" w:hAnsi="Arial"/>
                <w:sz w:val="20"/>
                <w:szCs w:val="20"/>
              </w:rPr>
              <w:t>Gibt es z.B. eine Probeklausur?</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CA0279">
            <w:pPr>
              <w:numPr>
                <w:ilvl w:val="0"/>
                <w:numId w:val="2"/>
              </w:numPr>
              <w:rPr>
                <w:rFonts w:ascii="Arial" w:hAnsi="Arial"/>
                <w:sz w:val="20"/>
                <w:szCs w:val="20"/>
              </w:rPr>
            </w:pPr>
            <w:r>
              <w:rPr>
                <w:rFonts w:ascii="Arial" w:hAnsi="Arial"/>
                <w:sz w:val="20"/>
                <w:szCs w:val="20"/>
              </w:rPr>
              <w:t>Mündliche Prüfung,</w:t>
            </w:r>
          </w:p>
          <w:p w:rsidR="005D1188" w:rsidRDefault="00CA0279">
            <w:pPr>
              <w:numPr>
                <w:ilvl w:val="0"/>
                <w:numId w:val="2"/>
              </w:numPr>
              <w:rPr>
                <w:rFonts w:ascii="Arial" w:hAnsi="Arial"/>
                <w:sz w:val="20"/>
                <w:szCs w:val="20"/>
              </w:rPr>
            </w:pPr>
            <w:r>
              <w:rPr>
                <w:rFonts w:ascii="Arial" w:hAnsi="Arial"/>
                <w:sz w:val="20"/>
                <w:szCs w:val="20"/>
              </w:rPr>
              <w:t>Klausurarbeiten oder sonstige schriftliche Arbeiten</w:t>
            </w:r>
          </w:p>
          <w:p w:rsidR="005D1188" w:rsidRDefault="00CA0279">
            <w:pPr>
              <w:numPr>
                <w:ilvl w:val="0"/>
                <w:numId w:val="2"/>
              </w:numPr>
              <w:rPr>
                <w:rFonts w:ascii="Arial" w:hAnsi="Arial"/>
                <w:sz w:val="20"/>
                <w:szCs w:val="20"/>
              </w:rPr>
            </w:pPr>
            <w:r>
              <w:rPr>
                <w:rFonts w:ascii="Arial" w:hAnsi="Arial"/>
                <w:sz w:val="20"/>
                <w:szCs w:val="20"/>
              </w:rPr>
              <w:t>Projektarbeiten</w:t>
            </w:r>
          </w:p>
          <w:p w:rsidR="005D1188" w:rsidRDefault="00CA0279">
            <w:pPr>
              <w:numPr>
                <w:ilvl w:val="0"/>
                <w:numId w:val="2"/>
              </w:numPr>
              <w:rPr>
                <w:rFonts w:ascii="Arial" w:hAnsi="Arial"/>
                <w:sz w:val="20"/>
                <w:szCs w:val="20"/>
              </w:rPr>
            </w:pPr>
            <w:r>
              <w:rPr>
                <w:rFonts w:ascii="Arial" w:hAnsi="Arial"/>
                <w:sz w:val="20"/>
                <w:szCs w:val="20"/>
              </w:rPr>
              <w:t>Laborversuche</w:t>
            </w:r>
          </w:p>
          <w:p w:rsidR="005D1188" w:rsidRDefault="00CA0279">
            <w:pPr>
              <w:numPr>
                <w:ilvl w:val="0"/>
                <w:numId w:val="2"/>
              </w:numPr>
              <w:rPr>
                <w:rFonts w:ascii="Arial" w:hAnsi="Arial"/>
                <w:sz w:val="20"/>
                <w:szCs w:val="20"/>
              </w:rPr>
            </w:pPr>
            <w:r>
              <w:rPr>
                <w:rFonts w:ascii="Arial" w:hAnsi="Arial"/>
                <w:sz w:val="20"/>
                <w:szCs w:val="20"/>
              </w:rPr>
              <w:t>andere Leistungen.</w:t>
            </w: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CA0279">
            <w:pPr>
              <w:rPr>
                <w:rFonts w:ascii="Arial" w:hAnsi="Arial"/>
                <w:sz w:val="20"/>
                <w:szCs w:val="20"/>
              </w:rPr>
            </w:pPr>
            <w:r w:rsidRPr="00C66AE8">
              <w:rPr>
                <w:rFonts w:ascii="Arial" w:hAnsi="Arial"/>
                <w:sz w:val="20"/>
                <w:szCs w:val="20"/>
              </w:rPr>
              <w:t>Eingesetzte Prüfungsformen im SMP Teil der Prüfung (sofern vorhanden, bitte markieren):</w:t>
            </w:r>
          </w:p>
          <w:p w:rsidR="005D1188" w:rsidRPr="00C66AE8" w:rsidRDefault="005D1188">
            <w:pPr>
              <w:rPr>
                <w:rFonts w:ascii="Arial" w:hAnsi="Arial"/>
                <w:sz w:val="20"/>
                <w:szCs w:val="20"/>
              </w:rPr>
            </w:pPr>
          </w:p>
          <w:p w:rsidR="005D1188" w:rsidRPr="00C66AE8" w:rsidRDefault="005D1188">
            <w:pPr>
              <w:rPr>
                <w:rFonts w:ascii="Arial" w:hAnsi="Arial"/>
                <w:sz w:val="20"/>
                <w:szCs w:val="20"/>
              </w:rPr>
            </w:pPr>
          </w:p>
          <w:p w:rsidR="005D1188" w:rsidRPr="00C66AE8" w:rsidRDefault="00CA0279">
            <w:pPr>
              <w:rPr>
                <w:rFonts w:ascii="Arial" w:hAnsi="Arial"/>
                <w:sz w:val="20"/>
                <w:szCs w:val="20"/>
              </w:rPr>
            </w:pPr>
            <w:r w:rsidRPr="00C66AE8">
              <w:rPr>
                <w:rFonts w:ascii="Arial" w:hAnsi="Arial"/>
                <w:sz w:val="20"/>
                <w:szCs w:val="20"/>
              </w:rPr>
              <w:t>Bitte beschreiben Sie den SMP Teil der Prüfung genauer (sofern vorhanden):</w:t>
            </w:r>
          </w:p>
          <w:p w:rsidR="00A21CFD" w:rsidRDefault="00EB6EC2" w:rsidP="00A21CFD">
            <w:pPr>
              <w:rPr>
                <w:rFonts w:ascii="Arial" w:hAnsi="Arial"/>
                <w:sz w:val="20"/>
                <w:szCs w:val="20"/>
              </w:rPr>
            </w:pPr>
            <w:r w:rsidRPr="00C66AE8">
              <w:rPr>
                <w:rFonts w:ascii="Arial" w:hAnsi="Arial"/>
                <w:sz w:val="20"/>
                <w:szCs w:val="20"/>
              </w:rPr>
              <w:t>Gibt es z.B. mehrere Prüfungsteile?</w:t>
            </w:r>
            <w:r w:rsidR="00A21CFD">
              <w:rPr>
                <w:rFonts w:ascii="Arial" w:hAnsi="Arial"/>
                <w:sz w:val="20"/>
                <w:szCs w:val="20"/>
              </w:rPr>
              <w:t xml:space="preserve"> </w:t>
            </w:r>
          </w:p>
          <w:p w:rsidR="00A21CFD" w:rsidRDefault="00A21CFD" w:rsidP="00A21CFD">
            <w:pPr>
              <w:rPr>
                <w:rFonts w:ascii="Arial" w:hAnsi="Arial"/>
                <w:sz w:val="20"/>
                <w:szCs w:val="20"/>
              </w:rPr>
            </w:pPr>
            <w:r>
              <w:rPr>
                <w:rFonts w:ascii="Arial" w:hAnsi="Arial"/>
                <w:sz w:val="20"/>
                <w:szCs w:val="20"/>
              </w:rPr>
              <w:t xml:space="preserve">Wie sehen die Gewichtungen und Termine aus? </w:t>
            </w:r>
          </w:p>
          <w:p w:rsidR="00A21CFD" w:rsidRPr="00C66AE8" w:rsidRDefault="00A21CFD" w:rsidP="00A21CFD">
            <w:pPr>
              <w:rPr>
                <w:rFonts w:ascii="Arial" w:hAnsi="Arial"/>
                <w:sz w:val="20"/>
                <w:szCs w:val="20"/>
              </w:rPr>
            </w:pPr>
            <w:r>
              <w:rPr>
                <w:rFonts w:ascii="Arial" w:hAnsi="Arial"/>
                <w:sz w:val="20"/>
                <w:szCs w:val="20"/>
              </w:rPr>
              <w:t>Sind alle Teile verpflichtend?</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CA0279">
            <w:pPr>
              <w:numPr>
                <w:ilvl w:val="0"/>
                <w:numId w:val="2"/>
              </w:numPr>
              <w:rPr>
                <w:rFonts w:ascii="Arial" w:hAnsi="Arial"/>
                <w:sz w:val="20"/>
                <w:szCs w:val="20"/>
              </w:rPr>
            </w:pPr>
            <w:r>
              <w:rPr>
                <w:rFonts w:ascii="Arial" w:hAnsi="Arial"/>
                <w:sz w:val="20"/>
                <w:szCs w:val="20"/>
              </w:rPr>
              <w:t>Mündliche Prüfung,</w:t>
            </w:r>
          </w:p>
          <w:p w:rsidR="005D1188" w:rsidRDefault="00CA0279">
            <w:pPr>
              <w:numPr>
                <w:ilvl w:val="0"/>
                <w:numId w:val="2"/>
              </w:numPr>
              <w:rPr>
                <w:rFonts w:ascii="Arial" w:hAnsi="Arial"/>
                <w:sz w:val="20"/>
                <w:szCs w:val="20"/>
              </w:rPr>
            </w:pPr>
            <w:r>
              <w:rPr>
                <w:rFonts w:ascii="Arial" w:hAnsi="Arial"/>
                <w:sz w:val="20"/>
                <w:szCs w:val="20"/>
              </w:rPr>
              <w:t>Klausurarbeiten oder sonstige schriftliche Arbeiten</w:t>
            </w:r>
          </w:p>
          <w:p w:rsidR="005D1188" w:rsidRDefault="00CA0279">
            <w:pPr>
              <w:numPr>
                <w:ilvl w:val="0"/>
                <w:numId w:val="2"/>
              </w:numPr>
              <w:rPr>
                <w:rFonts w:ascii="Arial" w:hAnsi="Arial"/>
                <w:sz w:val="20"/>
                <w:szCs w:val="20"/>
              </w:rPr>
            </w:pPr>
            <w:r>
              <w:rPr>
                <w:rFonts w:ascii="Arial" w:hAnsi="Arial"/>
                <w:sz w:val="20"/>
                <w:szCs w:val="20"/>
              </w:rPr>
              <w:t>Projektarbeiten</w:t>
            </w:r>
          </w:p>
          <w:p w:rsidR="005D1188" w:rsidRDefault="00CA0279">
            <w:pPr>
              <w:numPr>
                <w:ilvl w:val="0"/>
                <w:numId w:val="2"/>
              </w:numPr>
              <w:rPr>
                <w:rFonts w:ascii="Arial" w:hAnsi="Arial"/>
                <w:sz w:val="20"/>
                <w:szCs w:val="20"/>
              </w:rPr>
            </w:pPr>
            <w:r>
              <w:rPr>
                <w:rFonts w:ascii="Arial" w:hAnsi="Arial"/>
                <w:sz w:val="20"/>
                <w:szCs w:val="20"/>
              </w:rPr>
              <w:t>Laborversuche</w:t>
            </w:r>
          </w:p>
          <w:p w:rsidR="005D1188" w:rsidRDefault="00CA0279">
            <w:pPr>
              <w:numPr>
                <w:ilvl w:val="0"/>
                <w:numId w:val="2"/>
              </w:numPr>
              <w:rPr>
                <w:rFonts w:ascii="Arial" w:hAnsi="Arial"/>
                <w:sz w:val="20"/>
                <w:szCs w:val="20"/>
              </w:rPr>
            </w:pPr>
            <w:r>
              <w:rPr>
                <w:rFonts w:ascii="Arial" w:hAnsi="Arial"/>
                <w:sz w:val="20"/>
                <w:szCs w:val="20"/>
              </w:rPr>
              <w:t>andere Leistungen.</w:t>
            </w: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CA0279">
            <w:pPr>
              <w:rPr>
                <w:rFonts w:ascii="Arial" w:hAnsi="Arial"/>
                <w:sz w:val="20"/>
                <w:szCs w:val="20"/>
              </w:rPr>
            </w:pPr>
            <w:r w:rsidRPr="00C66AE8">
              <w:rPr>
                <w:rFonts w:ascii="Arial" w:hAnsi="Arial"/>
                <w:sz w:val="20"/>
                <w:szCs w:val="20"/>
              </w:rPr>
              <w:t>Wie sind die Nachprüfungen des SMP Teils der Prüfung organisiert (sofern vorhanden)?</w:t>
            </w:r>
          </w:p>
          <w:p w:rsidR="00B97D17" w:rsidRPr="00C66AE8" w:rsidRDefault="00B97D17">
            <w:pPr>
              <w:rPr>
                <w:rFonts w:ascii="Arial" w:hAnsi="Arial"/>
                <w:sz w:val="20"/>
                <w:szCs w:val="20"/>
              </w:rPr>
            </w:pPr>
            <w:r w:rsidRPr="00C66AE8">
              <w:rPr>
                <w:rFonts w:ascii="Arial" w:hAnsi="Arial"/>
                <w:sz w:val="20"/>
                <w:szCs w:val="20"/>
              </w:rPr>
              <w:t>Hier können Sie auch Nachprüfungen, die nach der alten Regelung in der Nachprüfungszeit durchgeführt wurden, beschreiben. Dann müssen sie das Prüfungsschema als ein gutes didaktisches Konzept deklarieren, das mit der aktuellen Rahmenordnung nicht umzusetzen ist.</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5D1188">
            <w:pPr>
              <w:pStyle w:val="TableContents"/>
              <w:rPr>
                <w:rFonts w:ascii="Arial" w:hAnsi="Arial"/>
                <w:sz w:val="20"/>
                <w:szCs w:val="20"/>
              </w:rPr>
            </w:pP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CA0279">
            <w:pPr>
              <w:rPr>
                <w:rFonts w:ascii="Arial" w:hAnsi="Arial"/>
                <w:sz w:val="20"/>
                <w:szCs w:val="20"/>
              </w:rPr>
            </w:pPr>
            <w:r w:rsidRPr="00C66AE8">
              <w:rPr>
                <w:rFonts w:ascii="Arial" w:hAnsi="Arial"/>
                <w:sz w:val="20"/>
                <w:szCs w:val="20"/>
              </w:rPr>
              <w:t>Könnte der SMP Teil der Nachprüfung auch in der Nachprüfungszeit vor Beginn des Folgesemesters durchgeführt werden, wenn dies die Rahmenordnung zulassen würde? Wenn ja, wie bzw. wie müsste die RO geändert werden?</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5D1188">
            <w:pPr>
              <w:pStyle w:val="TableContents"/>
              <w:rPr>
                <w:rFonts w:ascii="Arial" w:hAnsi="Arial"/>
                <w:sz w:val="20"/>
                <w:szCs w:val="20"/>
              </w:rPr>
            </w:pPr>
          </w:p>
        </w:tc>
      </w:tr>
      <w:tr w:rsidR="005D1188">
        <w:tc>
          <w:tcPr>
            <w:tcW w:w="4818" w:type="dxa"/>
            <w:tcBorders>
              <w:left w:val="single" w:sz="2" w:space="0" w:color="000000"/>
              <w:bottom w:val="single" w:sz="2" w:space="0" w:color="000000"/>
            </w:tcBorders>
            <w:tcMar>
              <w:top w:w="55" w:type="dxa"/>
              <w:left w:w="55" w:type="dxa"/>
              <w:bottom w:w="55" w:type="dxa"/>
              <w:right w:w="55" w:type="dxa"/>
            </w:tcMar>
          </w:tcPr>
          <w:p w:rsidR="005D1188" w:rsidRPr="00C66AE8" w:rsidRDefault="00CA0279">
            <w:pPr>
              <w:rPr>
                <w:rFonts w:ascii="Arial" w:hAnsi="Arial"/>
                <w:sz w:val="20"/>
                <w:szCs w:val="20"/>
              </w:rPr>
            </w:pPr>
            <w:r w:rsidRPr="00C66AE8">
              <w:rPr>
                <w:rFonts w:ascii="Arial" w:hAnsi="Arial"/>
                <w:sz w:val="20"/>
                <w:szCs w:val="20"/>
              </w:rPr>
              <w:t>Bei diesem Prüfungsschema handelt es sich um (bitte markieren):</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D1188" w:rsidRDefault="00CA0279">
            <w:pPr>
              <w:numPr>
                <w:ilvl w:val="0"/>
                <w:numId w:val="5"/>
              </w:numPr>
              <w:rPr>
                <w:rFonts w:ascii="Arial" w:hAnsi="Arial"/>
                <w:sz w:val="20"/>
                <w:szCs w:val="20"/>
              </w:rPr>
            </w:pPr>
            <w:r>
              <w:rPr>
                <w:rFonts w:ascii="Arial" w:hAnsi="Arial"/>
                <w:sz w:val="20"/>
                <w:szCs w:val="20"/>
              </w:rPr>
              <w:t>ein Best Practice Beispiel</w:t>
            </w:r>
          </w:p>
          <w:p w:rsidR="005D1188" w:rsidRDefault="00CA0279">
            <w:pPr>
              <w:numPr>
                <w:ilvl w:val="0"/>
                <w:numId w:val="5"/>
              </w:numPr>
              <w:rPr>
                <w:rFonts w:ascii="Arial" w:hAnsi="Arial"/>
                <w:sz w:val="20"/>
                <w:szCs w:val="20"/>
              </w:rPr>
            </w:pPr>
            <w:r>
              <w:rPr>
                <w:rFonts w:ascii="Arial" w:hAnsi="Arial"/>
                <w:sz w:val="20"/>
                <w:szCs w:val="20"/>
              </w:rPr>
              <w:t>ein Beispiel in dem gute didaktische Konzepte mit der Rahmenordnung nicht umgesetzt werden können.</w:t>
            </w:r>
          </w:p>
        </w:tc>
      </w:tr>
    </w:tbl>
    <w:p w:rsidR="005D1188" w:rsidRDefault="005D1188">
      <w:pPr>
        <w:rPr>
          <w:rFonts w:ascii="Arial" w:hAnsi="Arial"/>
          <w:sz w:val="16"/>
          <w:szCs w:val="16"/>
        </w:rPr>
      </w:pPr>
    </w:p>
    <w:sectPr w:rsidR="005D1188">
      <w:headerReference w:type="default" r:id="rId8"/>
      <w:footerReference w:type="default" r:id="rId9"/>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775" w:rsidRDefault="008A0775">
      <w:r>
        <w:separator/>
      </w:r>
    </w:p>
  </w:endnote>
  <w:endnote w:type="continuationSeparator" w:id="0">
    <w:p w:rsidR="008A0775" w:rsidRDefault="008A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0EA" w:rsidRDefault="00CA0279">
    <w:pPr>
      <w:pStyle w:val="Fuzeile"/>
    </w:pPr>
    <w:r>
      <w:tab/>
      <w:t xml:space="preserve">- </w:t>
    </w:r>
    <w:r>
      <w:fldChar w:fldCharType="begin"/>
    </w:r>
    <w:r>
      <w:instrText xml:space="preserve"> PAGE </w:instrText>
    </w:r>
    <w:r>
      <w:fldChar w:fldCharType="separate"/>
    </w:r>
    <w:r w:rsidR="00A86E93">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775" w:rsidRDefault="008A0775">
      <w:r>
        <w:rPr>
          <w:color w:val="000000"/>
        </w:rPr>
        <w:separator/>
      </w:r>
    </w:p>
  </w:footnote>
  <w:footnote w:type="continuationSeparator" w:id="0">
    <w:p w:rsidR="008A0775" w:rsidRDefault="008A07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0EA" w:rsidRDefault="00CA0279">
    <w:pPr>
      <w:pStyle w:val="Kopfzeile"/>
    </w:pPr>
    <w:r>
      <w:t>Dekan WIR</w:t>
    </w:r>
    <w:r>
      <w:tab/>
      <w:t xml:space="preserve">Umfrage </w:t>
    </w:r>
    <w:r>
      <w:tab/>
    </w:r>
    <w:r>
      <w:fldChar w:fldCharType="begin" w:fldLock="1"/>
    </w:r>
    <w:r>
      <w:instrText xml:space="preserve"> DATE \@ "d'. 'MMMM' 'yyyy" </w:instrText>
    </w:r>
    <w:r>
      <w:fldChar w:fldCharType="separate"/>
    </w:r>
    <w:r>
      <w:t>26. Januar 2018</w:t>
    </w:r>
    <w:r>
      <w:fldChar w:fldCharType="end"/>
    </w:r>
  </w:p>
  <w:p w:rsidR="001C50EA" w:rsidRDefault="00CA0279">
    <w:pPr>
      <w:pStyle w:val="Kopfzeile"/>
    </w:pPr>
    <w:r>
      <w:t>Prof. Dr. Christian Müller</w:t>
    </w:r>
    <w:r>
      <w:tab/>
      <w:t>Prüfungsschema – Best Pratice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21A7F"/>
    <w:multiLevelType w:val="multilevel"/>
    <w:tmpl w:val="3AC606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BE20C3A"/>
    <w:multiLevelType w:val="multilevel"/>
    <w:tmpl w:val="93CC6A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530D5153"/>
    <w:multiLevelType w:val="multilevel"/>
    <w:tmpl w:val="498044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73EE41A7"/>
    <w:multiLevelType w:val="multilevel"/>
    <w:tmpl w:val="D02CB918"/>
    <w:lvl w:ilvl="0">
      <w:numFmt w:val="bullet"/>
      <w:lvlText w:val="•"/>
      <w:lvlJc w:val="left"/>
      <w:pPr>
        <w:ind w:left="777" w:hanging="360"/>
      </w:pPr>
      <w:rPr>
        <w:rFonts w:ascii="OpenSymbol" w:eastAsia="OpenSymbol" w:hAnsi="OpenSymbol" w:cs="OpenSymbol"/>
      </w:rPr>
    </w:lvl>
    <w:lvl w:ilvl="1">
      <w:numFmt w:val="bullet"/>
      <w:lvlText w:val="◦"/>
      <w:lvlJc w:val="left"/>
      <w:pPr>
        <w:ind w:left="1137" w:hanging="360"/>
      </w:pPr>
      <w:rPr>
        <w:rFonts w:ascii="OpenSymbol" w:eastAsia="OpenSymbol" w:hAnsi="OpenSymbol" w:cs="OpenSymbol"/>
      </w:rPr>
    </w:lvl>
    <w:lvl w:ilvl="2">
      <w:numFmt w:val="bullet"/>
      <w:lvlText w:val="▪"/>
      <w:lvlJc w:val="left"/>
      <w:pPr>
        <w:ind w:left="1497" w:hanging="360"/>
      </w:pPr>
      <w:rPr>
        <w:rFonts w:ascii="OpenSymbol" w:eastAsia="OpenSymbol" w:hAnsi="OpenSymbol" w:cs="OpenSymbol"/>
      </w:rPr>
    </w:lvl>
    <w:lvl w:ilvl="3">
      <w:numFmt w:val="bullet"/>
      <w:lvlText w:val="•"/>
      <w:lvlJc w:val="left"/>
      <w:pPr>
        <w:ind w:left="1857" w:hanging="360"/>
      </w:pPr>
      <w:rPr>
        <w:rFonts w:ascii="OpenSymbol" w:eastAsia="OpenSymbol" w:hAnsi="OpenSymbol" w:cs="OpenSymbol"/>
      </w:rPr>
    </w:lvl>
    <w:lvl w:ilvl="4">
      <w:numFmt w:val="bullet"/>
      <w:lvlText w:val="◦"/>
      <w:lvlJc w:val="left"/>
      <w:pPr>
        <w:ind w:left="2217" w:hanging="360"/>
      </w:pPr>
      <w:rPr>
        <w:rFonts w:ascii="OpenSymbol" w:eastAsia="OpenSymbol" w:hAnsi="OpenSymbol" w:cs="OpenSymbol"/>
      </w:rPr>
    </w:lvl>
    <w:lvl w:ilvl="5">
      <w:numFmt w:val="bullet"/>
      <w:lvlText w:val="▪"/>
      <w:lvlJc w:val="left"/>
      <w:pPr>
        <w:ind w:left="2577" w:hanging="360"/>
      </w:pPr>
      <w:rPr>
        <w:rFonts w:ascii="OpenSymbol" w:eastAsia="OpenSymbol" w:hAnsi="OpenSymbol" w:cs="OpenSymbol"/>
      </w:rPr>
    </w:lvl>
    <w:lvl w:ilvl="6">
      <w:numFmt w:val="bullet"/>
      <w:lvlText w:val="•"/>
      <w:lvlJc w:val="left"/>
      <w:pPr>
        <w:ind w:left="2937" w:hanging="360"/>
      </w:pPr>
      <w:rPr>
        <w:rFonts w:ascii="OpenSymbol" w:eastAsia="OpenSymbol" w:hAnsi="OpenSymbol" w:cs="OpenSymbol"/>
      </w:rPr>
    </w:lvl>
    <w:lvl w:ilvl="7">
      <w:numFmt w:val="bullet"/>
      <w:lvlText w:val="◦"/>
      <w:lvlJc w:val="left"/>
      <w:pPr>
        <w:ind w:left="3297" w:hanging="360"/>
      </w:pPr>
      <w:rPr>
        <w:rFonts w:ascii="OpenSymbol" w:eastAsia="OpenSymbol" w:hAnsi="OpenSymbol" w:cs="OpenSymbol"/>
      </w:rPr>
    </w:lvl>
    <w:lvl w:ilvl="8">
      <w:numFmt w:val="bullet"/>
      <w:lvlText w:val="▪"/>
      <w:lvlJc w:val="left"/>
      <w:pPr>
        <w:ind w:left="3657" w:hanging="360"/>
      </w:pPr>
      <w:rPr>
        <w:rFonts w:ascii="OpenSymbol" w:eastAsia="OpenSymbol" w:hAnsi="OpenSymbol" w:cs="OpenSymbol"/>
      </w:rPr>
    </w:lvl>
  </w:abstractNum>
  <w:abstractNum w:abstractNumId="4" w15:restartNumberingAfterBreak="0">
    <w:nsid w:val="7F164F80"/>
    <w:multiLevelType w:val="multilevel"/>
    <w:tmpl w:val="5B460D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88"/>
    <w:rsid w:val="0018315B"/>
    <w:rsid w:val="00232EBF"/>
    <w:rsid w:val="002E4037"/>
    <w:rsid w:val="004C41F8"/>
    <w:rsid w:val="005B105C"/>
    <w:rsid w:val="005D1188"/>
    <w:rsid w:val="008A0775"/>
    <w:rsid w:val="009D0FB8"/>
    <w:rsid w:val="00A21CFD"/>
    <w:rsid w:val="00A86E93"/>
    <w:rsid w:val="00B97D17"/>
    <w:rsid w:val="00C66AE8"/>
    <w:rsid w:val="00CA0279"/>
    <w:rsid w:val="00EB6EC2"/>
    <w:rsid w:val="00F414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C70AA-66BD-4014-9C24-508B1F5D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Textbody"/>
    <w:p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8"/>
        <w:tab w:val="right" w:pos="9637"/>
      </w:tab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wildau.de/files/2_Dokumente/Amtliche_Mitteilungen/2017_46_Rahmenordnu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Windows-Benutzer</cp:lastModifiedBy>
  <cp:revision>2</cp:revision>
  <dcterms:created xsi:type="dcterms:W3CDTF">2018-03-19T10:09:00Z</dcterms:created>
  <dcterms:modified xsi:type="dcterms:W3CDTF">2018-03-19T10:09:00Z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